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B7" w:rsidRPr="007B69B7" w:rsidRDefault="007B69B7" w:rsidP="007B69B7">
      <w:pPr>
        <w:shd w:val="clear" w:color="auto" w:fill="F5F5E6"/>
        <w:spacing w:after="312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Конструктивные особенности 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 Имеется пандус. </w:t>
      </w:r>
    </w:p>
    <w:p w:rsidR="007B69B7" w:rsidRPr="007B69B7" w:rsidRDefault="007B69B7" w:rsidP="007B69B7">
      <w:pPr>
        <w:shd w:val="clear" w:color="auto" w:fill="F5F5E6"/>
        <w:spacing w:after="312" w:line="240" w:lineRule="auto"/>
        <w:jc w:val="center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b/>
          <w:bCs/>
          <w:color w:val="362821"/>
          <w:sz w:val="18"/>
          <w:szCs w:val="18"/>
          <w:bdr w:val="none" w:sz="0" w:space="0" w:color="auto" w:frame="1"/>
          <w:lang w:eastAsia="ru-RU"/>
        </w:rPr>
        <w:t>Условия обучения инвалидов и лиц с ограниченными возможностями здоровья</w:t>
      </w:r>
    </w:p>
    <w:p w:rsidR="007B69B7" w:rsidRPr="007B69B7" w:rsidRDefault="007B69B7" w:rsidP="007B69B7">
      <w:pPr>
        <w:shd w:val="clear" w:color="auto" w:fill="F5F5E6"/>
        <w:spacing w:after="312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 xml:space="preserve">     Для </w:t>
      </w:r>
      <w:proofErr w:type="gramStart"/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обучающихся</w:t>
      </w:r>
      <w:proofErr w:type="gramEnd"/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 xml:space="preserve"> с ОВЗ используются специальные адаптированные образовательные программы для обучающихся с ограниченными возможностями здоровья, методы обучения, коррекционные занятия.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7B69B7" w:rsidRPr="007B69B7" w:rsidRDefault="007B69B7" w:rsidP="007B69B7">
      <w:pPr>
        <w:shd w:val="clear" w:color="auto" w:fill="F5F5E6"/>
        <w:spacing w:after="312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     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7B69B7" w:rsidRPr="007B69B7" w:rsidRDefault="007B69B7" w:rsidP="007B69B7">
      <w:pPr>
        <w:shd w:val="clear" w:color="auto" w:fill="F5F5E6"/>
        <w:spacing w:after="312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 xml:space="preserve">        Педагоги школы прошли курсы повышения квалификации по вопросам организации образовательного пространства </w:t>
      </w:r>
      <w:proofErr w:type="gramStart"/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обучающихся</w:t>
      </w:r>
      <w:proofErr w:type="gramEnd"/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 xml:space="preserve"> с ОВЗ.</w:t>
      </w:r>
    </w:p>
    <w:p w:rsidR="007B69B7" w:rsidRPr="007B69B7" w:rsidRDefault="007B69B7" w:rsidP="007B69B7">
      <w:pPr>
        <w:shd w:val="clear" w:color="auto" w:fill="F5F5E6"/>
        <w:spacing w:before="336" w:after="240" w:line="240" w:lineRule="auto"/>
        <w:jc w:val="center"/>
        <w:outlineLvl w:val="3"/>
        <w:rPr>
          <w:rFonts w:ascii="Georgia" w:eastAsia="Times New Roman" w:hAnsi="Georgia" w:cs="Times New Roman"/>
          <w:color w:val="362821"/>
          <w:sz w:val="31"/>
          <w:szCs w:val="31"/>
          <w:lang w:eastAsia="ru-RU"/>
        </w:rPr>
      </w:pPr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 xml:space="preserve">Оценка </w:t>
      </w:r>
      <w:proofErr w:type="gramStart"/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>состоянии</w:t>
      </w:r>
      <w:proofErr w:type="gramEnd"/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 xml:space="preserve"> и имеющихся недостатков в обеспечении условий доступности для инвалидов объекта</w:t>
      </w:r>
    </w:p>
    <w:tbl>
      <w:tblPr>
        <w:tblW w:w="0" w:type="auto"/>
        <w:jc w:val="center"/>
        <w:tblCellSpacing w:w="0" w:type="dxa"/>
        <w:shd w:val="clear" w:color="auto" w:fill="F5F5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831"/>
        <w:gridCol w:w="2799"/>
      </w:tblGrid>
      <w:tr w:rsidR="007B69B7" w:rsidRPr="007B69B7" w:rsidTr="007B69B7">
        <w:trPr>
          <w:trHeight w:val="162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Основные показатели доступности для инвалидов</w:t>
            </w:r>
          </w:p>
          <w:p w:rsidR="007B69B7" w:rsidRPr="007B69B7" w:rsidRDefault="007B69B7" w:rsidP="007B69B7">
            <w:pPr>
              <w:spacing w:after="312" w:line="240" w:lineRule="auto"/>
              <w:ind w:left="260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right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7B69B7" w:rsidRPr="007B69B7" w:rsidTr="007B69B7">
        <w:trPr>
          <w:trHeight w:val="645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сменные кресл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а-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коляски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адаптированные лифты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поручни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пандусы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подъемные платформы (аппарели)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315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раздвижные двери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доступные входные группы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rHeight w:val="33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rHeight w:val="645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rHeight w:val="159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надлежащее размещение оборудования и носителей информации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.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н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rHeight w:val="1905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о-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точечным шрифтом Брайля и на контрастном фоне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rHeight w:val="660"/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8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86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:rsidR="007B69B7" w:rsidRPr="007B69B7" w:rsidRDefault="007B69B7" w:rsidP="007B69B7">
      <w:pPr>
        <w:shd w:val="clear" w:color="auto" w:fill="F5F5E6"/>
        <w:spacing w:after="0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 </w:t>
      </w:r>
    </w:p>
    <w:p w:rsidR="007B69B7" w:rsidRPr="007B69B7" w:rsidRDefault="007B69B7" w:rsidP="007B69B7">
      <w:pPr>
        <w:shd w:val="clear" w:color="auto" w:fill="F5F5E6"/>
        <w:spacing w:before="336" w:after="240" w:line="240" w:lineRule="auto"/>
        <w:jc w:val="center"/>
        <w:outlineLvl w:val="3"/>
        <w:rPr>
          <w:rFonts w:ascii="Georgia" w:eastAsia="Times New Roman" w:hAnsi="Georgia" w:cs="Times New Roman"/>
          <w:color w:val="362821"/>
          <w:sz w:val="31"/>
          <w:szCs w:val="31"/>
          <w:lang w:eastAsia="ru-RU"/>
        </w:rPr>
      </w:pPr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 xml:space="preserve">Оценка состояния </w:t>
      </w:r>
      <w:proofErr w:type="gramStart"/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>п</w:t>
      </w:r>
      <w:proofErr w:type="gramEnd"/>
      <w:r w:rsidRPr="007B69B7">
        <w:rPr>
          <w:rFonts w:ascii="Georgia" w:eastAsia="Times New Roman" w:hAnsi="Georgia" w:cs="Times New Roman"/>
          <w:b/>
          <w:bCs/>
          <w:color w:val="362821"/>
          <w:sz w:val="31"/>
          <w:szCs w:val="31"/>
          <w:bdr w:val="none" w:sz="0" w:space="0" w:color="auto" w:frame="1"/>
          <w:lang w:eastAsia="ru-RU"/>
        </w:rPr>
        <w:t xml:space="preserve"> имеющихся недостатков в обеспечении условий доступности для инвалидов предоставляемых услуг</w:t>
      </w:r>
    </w:p>
    <w:tbl>
      <w:tblPr>
        <w:tblW w:w="9585" w:type="dxa"/>
        <w:tblCellSpacing w:w="0" w:type="dxa"/>
        <w:shd w:val="clear" w:color="auto" w:fill="F5F5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5513"/>
        <w:gridCol w:w="3298"/>
      </w:tblGrid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выполненных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  <w:bookmarkStart w:id="0" w:name="_GoBack"/>
            <w:bookmarkEnd w:id="0"/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предоставление услуги с сопровождением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инвалида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но территории объекта работником организации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lastRenderedPageBreak/>
              <w:t>сурдопереводчика</w:t>
            </w:r>
            <w:proofErr w:type="spell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lastRenderedPageBreak/>
              <w:t>обеспечение допуска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.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п</w:t>
            </w:r>
            <w:proofErr w:type="gramEnd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jc w:val="center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обеспечение допуска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4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1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4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адаптация официального сайга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34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имеется</w:t>
            </w:r>
          </w:p>
        </w:tc>
      </w:tr>
      <w:tr w:rsidR="007B69B7" w:rsidRPr="007B69B7" w:rsidTr="007B69B7">
        <w:trPr>
          <w:tblCellSpacing w:w="0" w:type="dxa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24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 xml:space="preserve">обеспечение предоставления услуг </w:t>
            </w:r>
            <w:proofErr w:type="spellStart"/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тьютора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5F5E6"/>
            <w:vAlign w:val="center"/>
            <w:hideMark/>
          </w:tcPr>
          <w:p w:rsidR="007B69B7" w:rsidRPr="007B69B7" w:rsidRDefault="007B69B7" w:rsidP="007B69B7">
            <w:pPr>
              <w:spacing w:after="312" w:line="240" w:lineRule="auto"/>
              <w:ind w:left="1120"/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</w:pPr>
            <w:r w:rsidRPr="007B69B7">
              <w:rPr>
                <w:rFonts w:ascii="Verdana" w:eastAsia="Times New Roman" w:hAnsi="Verdana" w:cs="Times New Roman"/>
                <w:color w:val="362821"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:rsidR="007B69B7" w:rsidRPr="007B69B7" w:rsidRDefault="007B69B7" w:rsidP="007B69B7">
      <w:pPr>
        <w:shd w:val="clear" w:color="auto" w:fill="F5F5E6"/>
        <w:spacing w:after="312" w:line="240" w:lineRule="auto"/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</w:pPr>
      <w:r w:rsidRPr="007B69B7">
        <w:rPr>
          <w:rFonts w:ascii="Verdana" w:eastAsia="Times New Roman" w:hAnsi="Verdana" w:cs="Times New Roman"/>
          <w:color w:val="362821"/>
          <w:sz w:val="18"/>
          <w:szCs w:val="18"/>
          <w:lang w:eastAsia="ru-RU"/>
        </w:rPr>
        <w:t> </w:t>
      </w:r>
    </w:p>
    <w:p w:rsidR="00FA6E3C" w:rsidRDefault="00FA6E3C"/>
    <w:sectPr w:rsidR="00FA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B7"/>
    <w:rsid w:val="007B69B7"/>
    <w:rsid w:val="00F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6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6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6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6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496">
          <w:marLeft w:val="0"/>
          <w:marRight w:val="0"/>
          <w:marTop w:val="0"/>
          <w:marBottom w:val="0"/>
          <w:divBdr>
            <w:top w:val="none" w:sz="0" w:space="0" w:color="69374D"/>
            <w:left w:val="none" w:sz="0" w:space="0" w:color="69374D"/>
            <w:bottom w:val="none" w:sz="0" w:space="0" w:color="69374D"/>
            <w:right w:val="none" w:sz="0" w:space="0" w:color="69374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2020-12-09T13:49:00Z</dcterms:created>
  <dcterms:modified xsi:type="dcterms:W3CDTF">2020-12-09T13:55:00Z</dcterms:modified>
</cp:coreProperties>
</file>